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8"/>
      </w:tblGrid>
      <w:tr w:rsidR="003677BE" w:rsidRPr="0016021C" w14:paraId="57CA4BEF" w14:textId="77777777">
        <w:trPr>
          <w:jc w:val="center"/>
        </w:trPr>
        <w:tc>
          <w:tcPr>
            <w:tcW w:w="9638" w:type="dxa"/>
            <w:shd w:val="clear" w:color="auto" w:fill="07172C"/>
          </w:tcPr>
          <w:p w14:paraId="4EC03379" w14:textId="77777777" w:rsidR="003677BE" w:rsidRPr="0016021C" w:rsidRDefault="008E7620">
            <w:pPr>
              <w:spacing w:before="260"/>
              <w:jc w:val="center"/>
              <w:rPr>
                <w:lang w:val="ru-RU"/>
              </w:rPr>
            </w:pPr>
            <w:r w:rsidRPr="0016021C">
              <w:rPr>
                <w:b/>
                <w:color w:val="FFFFFF"/>
                <w:sz w:val="32"/>
                <w:lang w:val="ru-RU"/>
              </w:rPr>
              <w:t>СОГЛАШЕНИЕ</w:t>
            </w:r>
            <w:r w:rsidRPr="0016021C">
              <w:rPr>
                <w:b/>
                <w:color w:val="FFFFFF"/>
                <w:sz w:val="32"/>
                <w:lang w:val="ru-RU"/>
              </w:rPr>
              <w:br/>
              <w:t>об участии в программе клиентов-инициаторов решений</w:t>
            </w:r>
          </w:p>
          <w:p w14:paraId="3E838D23" w14:textId="77777777" w:rsidR="003677BE" w:rsidRPr="0016021C" w:rsidRDefault="008E7620">
            <w:pPr>
              <w:spacing w:after="240"/>
              <w:jc w:val="center"/>
              <w:rPr>
                <w:lang w:val="ru-RU"/>
              </w:rPr>
            </w:pPr>
            <w:proofErr w:type="spellStart"/>
            <w:r w:rsidRPr="0016021C">
              <w:rPr>
                <w:color w:val="F1C86A"/>
                <w:sz w:val="21"/>
                <w:lang w:val="ru-RU"/>
              </w:rPr>
              <w:t>ВсёОбАйти</w:t>
            </w:r>
            <w:proofErr w:type="spellEnd"/>
            <w:r w:rsidRPr="0016021C">
              <w:rPr>
                <w:color w:val="F1C86A"/>
                <w:sz w:val="21"/>
                <w:lang w:val="ru-RU"/>
              </w:rPr>
              <w:t xml:space="preserve"> Маркетплейс · 10% с оплаченных повторных продаж</w:t>
            </w:r>
          </w:p>
        </w:tc>
      </w:tr>
    </w:tbl>
    <w:p w14:paraId="06CFEFF6" w14:textId="77777777" w:rsidR="003677BE" w:rsidRPr="0016021C" w:rsidRDefault="008E7620">
      <w:pPr>
        <w:spacing w:before="160" w:after="160"/>
        <w:jc w:val="center"/>
        <w:rPr>
          <w:lang w:val="ru-RU"/>
        </w:rPr>
      </w:pPr>
      <w:r w:rsidRPr="0016021C">
        <w:rPr>
          <w:b/>
          <w:sz w:val="21"/>
          <w:lang w:val="ru-RU"/>
        </w:rPr>
        <w:t>№ ____ от «___» __________ 2026 г.</w:t>
      </w:r>
    </w:p>
    <w:p w14:paraId="72356590" w14:textId="77777777" w:rsidR="003677BE" w:rsidRPr="0016021C" w:rsidRDefault="008E7620">
      <w:pPr>
        <w:spacing w:after="80" w:line="259" w:lineRule="auto"/>
        <w:rPr>
          <w:lang w:val="ru-RU"/>
        </w:rPr>
      </w:pPr>
      <w:r w:rsidRPr="0016021C">
        <w:rPr>
          <w:lang w:val="ru-RU"/>
        </w:rPr>
        <w:t xml:space="preserve">Индивидуальный предприниматель Великоречин Артём Николаевич, ОГРНИП </w:t>
      </w:r>
      <w:r w:rsidRPr="0016021C">
        <w:rPr>
          <w:lang w:val="ru-RU"/>
        </w:rPr>
        <w:t>319402700028144, ИНН 400706224980, именуемый далее «Оператор маркетплейса», с одной стороны, и ________________________________, именуемый далее «Инициатор», с другой стороны, совместно именуемые «Стороны», заключили настоящее соглашение о нижеследующем.</w:t>
      </w:r>
    </w:p>
    <w:p w14:paraId="0586442C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1</w:t>
      </w:r>
      <w:r>
        <w:rPr>
          <w:rFonts w:ascii="Arial" w:eastAsia="Arial" w:hAnsi="Arial"/>
          <w:color w:val="07172C"/>
          <w:sz w:val="26"/>
        </w:rPr>
        <w:t>. Термины и общая идея программы</w:t>
      </w:r>
    </w:p>
    <w:p w14:paraId="0AF1ED08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 xml:space="preserve">Маркетплейс — интернет-площадка Оператора по адресу </w:t>
      </w:r>
      <w:r>
        <w:rPr>
          <w:sz w:val="19"/>
        </w:rPr>
        <w:t>market</w:t>
      </w:r>
      <w:r w:rsidRPr="0016021C">
        <w:rPr>
          <w:sz w:val="19"/>
          <w:lang w:val="ru-RU"/>
        </w:rPr>
        <w:t>.</w:t>
      </w:r>
      <w:proofErr w:type="spellStart"/>
      <w:r>
        <w:rPr>
          <w:sz w:val="19"/>
        </w:rPr>
        <w:t>allaboutit</w:t>
      </w:r>
      <w:proofErr w:type="spellEnd"/>
      <w:r w:rsidRPr="0016021C">
        <w:rPr>
          <w:sz w:val="19"/>
          <w:lang w:val="ru-RU"/>
        </w:rPr>
        <w:t>40.</w:t>
      </w:r>
      <w:proofErr w:type="spellStart"/>
      <w:r>
        <w:rPr>
          <w:sz w:val="19"/>
        </w:rPr>
        <w:t>ru</w:t>
      </w:r>
      <w:proofErr w:type="spellEnd"/>
      <w:r w:rsidRPr="0016021C">
        <w:rPr>
          <w:sz w:val="19"/>
          <w:lang w:val="ru-RU"/>
        </w:rPr>
        <w:t>, на которой размещаются готовые цифровые решения, модули, доработки, интеграции, отчёты, инструменты автоматизации и иные продукты.</w:t>
      </w:r>
    </w:p>
    <w:p w14:paraId="7E1F035A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Решение — програ</w:t>
      </w:r>
      <w:r w:rsidRPr="0016021C">
        <w:rPr>
          <w:sz w:val="19"/>
          <w:lang w:val="ru-RU"/>
        </w:rPr>
        <w:t>ммный продукт, доработка, модуль, интеграция, отчёт, шаблон, инструкция, пакет внедрения или иной цифровой продукт, созданный Оператором на базе задачи Инициатора и пригодный для повторного использования другими клиентами.</w:t>
      </w:r>
    </w:p>
    <w:p w14:paraId="06D07D6C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Инициатор — клиент, партнёр или и</w:t>
      </w:r>
      <w:r w:rsidRPr="0016021C">
        <w:rPr>
          <w:sz w:val="19"/>
          <w:lang w:val="ru-RU"/>
        </w:rPr>
        <w:t>ное лицо, задача которого послужила основанием для создания Решения и которое получает вознаграждение при повторных продажах такого Решения на условиях настоящего соглашения.</w:t>
      </w:r>
    </w:p>
    <w:p w14:paraId="0768571A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Повторная продажа — оплаченная продажа Решения третьему лицу после его размещения</w:t>
      </w:r>
      <w:r w:rsidRPr="0016021C">
        <w:rPr>
          <w:sz w:val="19"/>
          <w:lang w:val="ru-RU"/>
        </w:rPr>
        <w:t xml:space="preserve"> на маркетплейсе, не являющаяся первичной индивидуальной разработкой для самого Инициатора.</w:t>
      </w:r>
    </w:p>
    <w:p w14:paraId="48E24322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 xml:space="preserve">Вознаграждение инициатора — денежная выплата Инициатору в размере 10% от базы расчёта по соответствующей повторной продаже, если иное не установлено в приложении к </w:t>
      </w:r>
      <w:r w:rsidRPr="0016021C">
        <w:rPr>
          <w:sz w:val="19"/>
          <w:lang w:val="ru-RU"/>
        </w:rPr>
        <w:t>настоящему соглашению.</w:t>
      </w:r>
    </w:p>
    <w:p w14:paraId="2B363C28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2. Предмет соглашения</w:t>
      </w:r>
    </w:p>
    <w:p w14:paraId="5AAE84F9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вправе на основании ранее выполненной или будущей задачи Инициатора подготовить типовое Решение, адаптировать его для повторного использования и разместить на маркетплейсе.</w:t>
      </w:r>
    </w:p>
    <w:p w14:paraId="7430385E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Инициатор предоставляет Опера</w:t>
      </w:r>
      <w:r w:rsidRPr="0016021C">
        <w:rPr>
          <w:sz w:val="19"/>
          <w:lang w:val="ru-RU"/>
        </w:rPr>
        <w:t>тору право использовать обезличенную и универсальную часть задачи для создания, упаковки, продвижения и продажи Решения.</w:t>
      </w:r>
    </w:p>
    <w:p w14:paraId="78EF6E46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выплачивает Инициатору вознаграждение при повторных продажах Решения в порядке, установленном настоящим соглашением и приложен</w:t>
      </w:r>
      <w:r w:rsidRPr="0016021C">
        <w:rPr>
          <w:sz w:val="19"/>
          <w:lang w:val="ru-RU"/>
        </w:rPr>
        <w:t>иями к нему.</w:t>
      </w:r>
    </w:p>
    <w:p w14:paraId="146664A6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Настоящее соглашение не является договором простого товарищества, инвестиционным договором, договором о совместной деятельности, агентским договором или передачей доли в бизнесе Оператора.</w:t>
      </w:r>
    </w:p>
    <w:p w14:paraId="372FF977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3. Размер вознаграждения и база расчёта</w:t>
      </w:r>
    </w:p>
    <w:p w14:paraId="468216CF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Стандартный ра</w:t>
      </w:r>
      <w:r w:rsidRPr="0016021C">
        <w:rPr>
          <w:sz w:val="19"/>
          <w:lang w:val="ru-RU"/>
        </w:rPr>
        <w:t>змер вознаграждения Инициатора составляет 10% от базы расчёта по каждой оплаченной повторной продаже Решения.</w:t>
      </w:r>
    </w:p>
    <w:p w14:paraId="07B1CF1B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 xml:space="preserve">База расчёта — фактически полученная Оператором оплата за продажу самого Решения или его лицензионного/установочного пакета, если иное не </w:t>
      </w:r>
      <w:r w:rsidRPr="0016021C">
        <w:rPr>
          <w:sz w:val="19"/>
          <w:lang w:val="ru-RU"/>
        </w:rPr>
        <w:t>указано в приложении по конкретному Решению.</w:t>
      </w:r>
    </w:p>
    <w:p w14:paraId="4B62F25C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 xml:space="preserve">В базу расчёта не включаются: индивидуальные доработки под нового клиента, внедрение под ключ, сопровождение, абонентская поддержка, командировочные расходы, услуги третьих лиц, хостинг, лицензии стороннего ПО, </w:t>
      </w:r>
      <w:r w:rsidRPr="0016021C">
        <w:rPr>
          <w:sz w:val="19"/>
          <w:lang w:val="ru-RU"/>
        </w:rPr>
        <w:t>комиссии платёжных систем, возвраты, скидки, бонусы, штрафы, налоги и иные суммы, которые не являются оплатой за само Решение.</w:t>
      </w:r>
    </w:p>
    <w:p w14:paraId="2DF88C10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Если по конкретному Решению Стороны хотят считать 10% от иной базы, например от полной суммы тарифа или от отдельного тарифного п</w:t>
      </w:r>
      <w:r w:rsidRPr="0016021C">
        <w:rPr>
          <w:sz w:val="19"/>
          <w:lang w:val="ru-RU"/>
        </w:rPr>
        <w:t>акета, это фиксируется в Приложении №1.</w:t>
      </w:r>
    </w:p>
    <w:p w14:paraId="33221715" w14:textId="77777777" w:rsidR="003677BE" w:rsidRDefault="008E7620">
      <w:pPr>
        <w:pStyle w:val="a"/>
        <w:spacing w:after="60" w:line="252" w:lineRule="auto"/>
      </w:pPr>
      <w:r w:rsidRPr="0016021C">
        <w:rPr>
          <w:sz w:val="19"/>
          <w:lang w:val="ru-RU"/>
        </w:rPr>
        <w:t>При возврате оплаты покупателю или отмене сделки начисление по такой продаже не производится. Если выплата уже произведена, соответствующая сумма засчитывается в уменьшение будущих начислений или возвращается Инициат</w:t>
      </w:r>
      <w:r w:rsidRPr="0016021C">
        <w:rPr>
          <w:sz w:val="19"/>
          <w:lang w:val="ru-RU"/>
        </w:rPr>
        <w:t xml:space="preserve">ором по требованию </w:t>
      </w:r>
      <w:proofErr w:type="spellStart"/>
      <w:r>
        <w:rPr>
          <w:sz w:val="19"/>
        </w:rPr>
        <w:t>Оператора</w:t>
      </w:r>
      <w:proofErr w:type="spellEnd"/>
      <w:r>
        <w:rPr>
          <w:sz w:val="19"/>
        </w:rPr>
        <w:t>.</w:t>
      </w:r>
    </w:p>
    <w:p w14:paraId="3DDC4F3B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lastRenderedPageBreak/>
        <w:t>4. Порядок учёта и выплат</w:t>
      </w:r>
    </w:p>
    <w:p w14:paraId="47D852AA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ведёт внутренний учёт повторных продаж Решения, по которым возникает право Инициатора на вознаграждение.</w:t>
      </w:r>
    </w:p>
    <w:p w14:paraId="50E8217E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Отчётный период — календарный месяц, если иной период не указан в приложении.</w:t>
      </w:r>
    </w:p>
    <w:p w14:paraId="7459C187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</w:t>
      </w:r>
      <w:r w:rsidRPr="0016021C">
        <w:rPr>
          <w:sz w:val="19"/>
          <w:lang w:val="ru-RU"/>
        </w:rPr>
        <w:t xml:space="preserve"> направляет Инициатору отчёт о начислениях не позднее 10 рабочих дней после окончания отчётного периода, если в периоде были продажи Решения.</w:t>
      </w:r>
    </w:p>
    <w:p w14:paraId="32624152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Выплата производится в течение 10 рабочих дней после согласования отчёта и получения от Инициатора актуальных плат</w:t>
      </w:r>
      <w:r w:rsidRPr="0016021C">
        <w:rPr>
          <w:sz w:val="19"/>
          <w:lang w:val="ru-RU"/>
        </w:rPr>
        <w:t>ёжных реквизитов и документов, необходимых для законной выплаты.</w:t>
      </w:r>
    </w:p>
    <w:p w14:paraId="7E70A234" w14:textId="77777777" w:rsidR="003677BE" w:rsidRDefault="008E7620">
      <w:pPr>
        <w:pStyle w:val="a"/>
        <w:spacing w:after="60" w:line="252" w:lineRule="auto"/>
      </w:pPr>
      <w:r w:rsidRPr="0016021C">
        <w:rPr>
          <w:sz w:val="19"/>
          <w:lang w:val="ru-RU"/>
        </w:rPr>
        <w:t>Минимальная сумма к выплате за отчётный период составляет 3 000 рублей. Если начисление меньше указанной суммы, оно переносится на следующий отчётный период до достижения минимального порога.</w:t>
      </w:r>
      <w:r w:rsidRPr="0016021C">
        <w:rPr>
          <w:sz w:val="19"/>
          <w:lang w:val="ru-RU"/>
        </w:rPr>
        <w:t xml:space="preserve"> </w:t>
      </w:r>
      <w:proofErr w:type="spellStart"/>
      <w:r>
        <w:rPr>
          <w:sz w:val="19"/>
        </w:rPr>
        <w:t>Стороны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могут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изменить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порог</w:t>
      </w:r>
      <w:proofErr w:type="spellEnd"/>
      <w:r>
        <w:rPr>
          <w:sz w:val="19"/>
        </w:rPr>
        <w:t xml:space="preserve"> в приложении.</w:t>
      </w:r>
    </w:p>
    <w:p w14:paraId="420BA6AB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Все налоги, удержания и обязанности по оформлению выплаты определяются применимым законодательством и налоговым статусом Инициатора. Если выплата Инициатору как физическому лицу требует удержаний, сумма вознаграж</w:t>
      </w:r>
      <w:r w:rsidRPr="0016021C">
        <w:rPr>
          <w:sz w:val="19"/>
          <w:lang w:val="ru-RU"/>
        </w:rPr>
        <w:t>дения может быть уменьшена на обязательные удержания.</w:t>
      </w:r>
    </w:p>
    <w:p w14:paraId="5405B8AD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5. Интеллектуальные права и ограничения</w:t>
      </w:r>
    </w:p>
    <w:p w14:paraId="7A8A946B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Исключительные права на программный код, дизайн, документацию, упаковку, маркетинговые материалы, описание, сайт, карточку Решения и иные результаты работ, создан</w:t>
      </w:r>
      <w:r w:rsidRPr="0016021C">
        <w:rPr>
          <w:sz w:val="19"/>
          <w:lang w:val="ru-RU"/>
        </w:rPr>
        <w:t>ные Оператором, принадлежат Оператору, если иное прямо не согласовано Сторонами письменно.</w:t>
      </w:r>
    </w:p>
    <w:p w14:paraId="316CC954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Инициатор не получает долю в исключительных правах на Решение, долю в маркетплейсе, право управлять ценой, продажами, условиями поддержки или развитием Решения.</w:t>
      </w:r>
    </w:p>
    <w:p w14:paraId="35746A1E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</w:t>
      </w:r>
      <w:r w:rsidRPr="0016021C">
        <w:rPr>
          <w:sz w:val="19"/>
          <w:lang w:val="ru-RU"/>
        </w:rPr>
        <w:t>атор самостоятельно определяет цену Решения, тарифы, скидки, способы продвижения, формат поставки, состав обновлений, условия поддержки и необходимость снятия Решения с продажи.</w:t>
      </w:r>
    </w:p>
    <w:p w14:paraId="4E17C921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Инициатор вправе использовать внедрённую для него версию решения в пределах ра</w:t>
      </w:r>
      <w:r w:rsidRPr="0016021C">
        <w:rPr>
          <w:sz w:val="19"/>
          <w:lang w:val="ru-RU"/>
        </w:rPr>
        <w:t>нее согласованного проекта/договора, но не вправе перепродавать, публиковать или передавать исходный код третьим лицам без письменного согласия Оператора.</w:t>
      </w:r>
    </w:p>
    <w:p w14:paraId="018BD4BA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6. Конфиденциальность и защита данных</w:t>
      </w:r>
    </w:p>
    <w:p w14:paraId="6C6C9FF6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не размещает на маркетплейсе персональные данные, комм</w:t>
      </w:r>
      <w:r w:rsidRPr="0016021C">
        <w:rPr>
          <w:sz w:val="19"/>
          <w:lang w:val="ru-RU"/>
        </w:rPr>
        <w:t>ерческие документы, доступы, внутренние регламенты, клиентские базы, финансовые показатели, уникальные бизнес-процессы Инициатора и иную конфиденциальную информацию без отдельного письменного согласия.</w:t>
      </w:r>
    </w:p>
    <w:p w14:paraId="1E4189A5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При подготовке Решения к продаже Оператор обезличивает</w:t>
      </w:r>
      <w:r w:rsidRPr="0016021C">
        <w:rPr>
          <w:sz w:val="19"/>
          <w:lang w:val="ru-RU"/>
        </w:rPr>
        <w:t xml:space="preserve"> исходные данные, удаляет доступы, токены, </w:t>
      </w:r>
      <w:r>
        <w:rPr>
          <w:sz w:val="19"/>
        </w:rPr>
        <w:t>API</w:t>
      </w:r>
      <w:r w:rsidRPr="0016021C">
        <w:rPr>
          <w:sz w:val="19"/>
          <w:lang w:val="ru-RU"/>
        </w:rPr>
        <w:t>-ключи, внутренние ссылки, реквизиты, имена сотрудников, клиентов и иные сведения, относящиеся к Инициатору.</w:t>
      </w:r>
    </w:p>
    <w:p w14:paraId="534A45E6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 xml:space="preserve">Инициатор обязуется не раскрывать третьим лицам коммерческие условия программы, </w:t>
      </w:r>
      <w:r w:rsidRPr="0016021C">
        <w:rPr>
          <w:sz w:val="19"/>
          <w:lang w:val="ru-RU"/>
        </w:rPr>
        <w:t>технические материалы Оператора и сведения о покупателях Решения, если такие сведения стали ему известны.</w:t>
      </w:r>
    </w:p>
    <w:p w14:paraId="636862EB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7. Обязанности Оператора</w:t>
      </w:r>
    </w:p>
    <w:p w14:paraId="36A7AD75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подготовить карточку Решения и разместить её на маркетплейсе при наличии технической и коммерческой целесообразности;</w:t>
      </w:r>
    </w:p>
    <w:p w14:paraId="59B64468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самосто</w:t>
      </w:r>
      <w:r w:rsidRPr="0016021C">
        <w:rPr>
          <w:sz w:val="19"/>
          <w:lang w:val="ru-RU"/>
        </w:rPr>
        <w:t>ятельно обеспечивать продажу, поддержку, обновление и сопровождение Решения в рамках выбранной модели поставки;</w:t>
      </w:r>
    </w:p>
    <w:p w14:paraId="406B40FE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вести учёт повторных продаж, по которым возникает право Инициатора на вознаграждение;</w:t>
      </w:r>
    </w:p>
    <w:p w14:paraId="6DA929BC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направлять отчёты о начислениях и производить выплаты в ус</w:t>
      </w:r>
      <w:r w:rsidRPr="0016021C">
        <w:rPr>
          <w:sz w:val="19"/>
          <w:lang w:val="ru-RU"/>
        </w:rPr>
        <w:t>тановленном порядке;</w:t>
      </w:r>
    </w:p>
    <w:p w14:paraId="0DB30CDB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не раскрывать конфиденциальную информацию Инициатора без согласия.</w:t>
      </w:r>
    </w:p>
    <w:p w14:paraId="2900F544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8. Обязанности Инициатора</w:t>
      </w:r>
    </w:p>
    <w:p w14:paraId="24CE0506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предоставить достоверные данные о задаче, необходимые для упаковки Решения;</w:t>
      </w:r>
    </w:p>
    <w:p w14:paraId="0EA3906C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своевременно сообщать актуальные реквизиты для выплат;</w:t>
      </w:r>
    </w:p>
    <w:p w14:paraId="33E83F86" w14:textId="77777777" w:rsidR="003677BE" w:rsidRDefault="008E7620">
      <w:pPr>
        <w:pStyle w:val="a0"/>
        <w:spacing w:after="60"/>
      </w:pPr>
      <w:r w:rsidRPr="0016021C">
        <w:rPr>
          <w:sz w:val="19"/>
          <w:lang w:val="ru-RU"/>
        </w:rPr>
        <w:t xml:space="preserve">не </w:t>
      </w:r>
      <w:r w:rsidRPr="0016021C">
        <w:rPr>
          <w:sz w:val="19"/>
          <w:lang w:val="ru-RU"/>
        </w:rPr>
        <w:t xml:space="preserve">передавать третьим лицам исходные материалы, код и закрытую документацию </w:t>
      </w:r>
      <w:proofErr w:type="spellStart"/>
      <w:r>
        <w:rPr>
          <w:sz w:val="19"/>
        </w:rPr>
        <w:t>Оператора</w:t>
      </w:r>
      <w:proofErr w:type="spellEnd"/>
      <w:r>
        <w:rPr>
          <w:sz w:val="19"/>
        </w:rPr>
        <w:t>;</w:t>
      </w:r>
    </w:p>
    <w:p w14:paraId="6FD9CBAC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самостоятельно проверять налоговые последствия получения вознаграждения и предоставлять документы, необходимые для законной выплаты;</w:t>
      </w:r>
    </w:p>
    <w:p w14:paraId="11677714" w14:textId="77777777" w:rsidR="003677BE" w:rsidRPr="0016021C" w:rsidRDefault="008E7620">
      <w:pPr>
        <w:pStyle w:val="a0"/>
        <w:spacing w:after="60"/>
        <w:rPr>
          <w:lang w:val="ru-RU"/>
        </w:rPr>
      </w:pPr>
      <w:r w:rsidRPr="0016021C">
        <w:rPr>
          <w:sz w:val="19"/>
          <w:lang w:val="ru-RU"/>
        </w:rPr>
        <w:t>не заявлять покупателям и третьим лицам</w:t>
      </w:r>
      <w:r w:rsidRPr="0016021C">
        <w:rPr>
          <w:sz w:val="19"/>
          <w:lang w:val="ru-RU"/>
        </w:rPr>
        <w:t>, что Инициатор является собственником маркетплейса, агентом, представителем или партнёром Оператора, если это отдельно не согласовано письменно.</w:t>
      </w:r>
    </w:p>
    <w:p w14:paraId="494FFBD4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lastRenderedPageBreak/>
        <w:t>9. Срок действия и прекращение участия</w:t>
      </w:r>
    </w:p>
    <w:p w14:paraId="1C7CCB62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Соглашение вступает в силу с даты подписания и действует до прекращения</w:t>
      </w:r>
      <w:r w:rsidRPr="0016021C">
        <w:rPr>
          <w:sz w:val="19"/>
          <w:lang w:val="ru-RU"/>
        </w:rPr>
        <w:t xml:space="preserve"> участия Инициатора в программе по конкретному Решению либо до снятия Решения с продажи.</w:t>
      </w:r>
    </w:p>
    <w:p w14:paraId="7A93407F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вправе снять Решение с продажи, изменить его состав, цену, тарифы или условия поставки, если это необходимо по техническим, коммерческим, правовым или репутац</w:t>
      </w:r>
      <w:r w:rsidRPr="0016021C">
        <w:rPr>
          <w:sz w:val="19"/>
          <w:lang w:val="ru-RU"/>
        </w:rPr>
        <w:t>ионным причинам.</w:t>
      </w:r>
    </w:p>
    <w:p w14:paraId="7E1E366D" w14:textId="77777777" w:rsidR="003677BE" w:rsidRDefault="008E7620">
      <w:pPr>
        <w:pStyle w:val="a"/>
        <w:spacing w:after="60" w:line="252" w:lineRule="auto"/>
      </w:pPr>
      <w:r w:rsidRPr="0016021C">
        <w:rPr>
          <w:sz w:val="19"/>
          <w:lang w:val="ru-RU"/>
        </w:rPr>
        <w:t xml:space="preserve">Инициатор вправе отказаться от дальнейшего участия в программе, направив письменное уведомление Оператору. </w:t>
      </w:r>
      <w:proofErr w:type="spellStart"/>
      <w:r>
        <w:rPr>
          <w:sz w:val="19"/>
        </w:rPr>
        <w:t>Начисления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по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продажам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совершённым</w:t>
      </w:r>
      <w:proofErr w:type="spellEnd"/>
      <w:r>
        <w:rPr>
          <w:sz w:val="19"/>
        </w:rPr>
        <w:t xml:space="preserve"> до даты прекращения участия, сохраняются.</w:t>
      </w:r>
    </w:p>
    <w:p w14:paraId="681B022F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вправе прекратить начисления по Решению, если</w:t>
      </w:r>
      <w:r w:rsidRPr="0016021C">
        <w:rPr>
          <w:sz w:val="19"/>
          <w:lang w:val="ru-RU"/>
        </w:rPr>
        <w:t xml:space="preserve"> Инициатор нарушил конфиденциальность, незаконно распространял материалы, предоставил недостоверные реквизиты или совершил действия, вредящие продаже Решения/репутации Оператора.</w:t>
      </w:r>
    </w:p>
    <w:p w14:paraId="6F2FB863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10. Ответственность и разрешение споров</w:t>
      </w:r>
    </w:p>
    <w:p w14:paraId="14C19CB6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Стороны несут ответственность за нару</w:t>
      </w:r>
      <w:r w:rsidRPr="0016021C">
        <w:rPr>
          <w:sz w:val="19"/>
          <w:lang w:val="ru-RU"/>
        </w:rPr>
        <w:t>шение настоящего соглашения в соответствии с законодательством Российской Федерации.</w:t>
      </w:r>
    </w:p>
    <w:p w14:paraId="62A5B793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Оператор не гарантирует количество продаж Решения, размер будущих начислений и срок окупаемости задачи Инициатора.</w:t>
      </w:r>
    </w:p>
    <w:p w14:paraId="0A806ADB" w14:textId="77777777" w:rsidR="003677BE" w:rsidRDefault="008E7620">
      <w:pPr>
        <w:pStyle w:val="a"/>
        <w:spacing w:after="60" w:line="252" w:lineRule="auto"/>
      </w:pPr>
      <w:r w:rsidRPr="0016021C">
        <w:rPr>
          <w:sz w:val="19"/>
          <w:lang w:val="ru-RU"/>
        </w:rPr>
        <w:t>Все споры Стороны стремятся урегулировать путём перегово</w:t>
      </w:r>
      <w:r w:rsidRPr="0016021C">
        <w:rPr>
          <w:sz w:val="19"/>
          <w:lang w:val="ru-RU"/>
        </w:rPr>
        <w:t xml:space="preserve">ров и обмена письменными претензиями. </w:t>
      </w:r>
      <w:proofErr w:type="spellStart"/>
      <w:r>
        <w:rPr>
          <w:sz w:val="19"/>
        </w:rPr>
        <w:t>Срок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ответа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на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претензию</w:t>
      </w:r>
      <w:proofErr w:type="spellEnd"/>
      <w:r>
        <w:rPr>
          <w:sz w:val="19"/>
        </w:rPr>
        <w:t xml:space="preserve"> — 10 рабочих дней с даты получения.</w:t>
      </w:r>
    </w:p>
    <w:p w14:paraId="7B900EF9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При недостижении соглашения спор подлежит рассмотрению в суде по месту регистрации Оператора, если императивными нормами закона не установлено иное.</w:t>
      </w:r>
    </w:p>
    <w:p w14:paraId="609B683B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11. Обме</w:t>
      </w:r>
      <w:r>
        <w:rPr>
          <w:rFonts w:ascii="Arial" w:eastAsia="Arial" w:hAnsi="Arial"/>
          <w:color w:val="07172C"/>
          <w:sz w:val="26"/>
        </w:rPr>
        <w:t>н документами</w:t>
      </w:r>
    </w:p>
    <w:p w14:paraId="44FA905A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Стороны признают юридическую силу документов, направленных по электронной почте, в мессенджерах, через ЭДО или иным способом, позволяющим установить отправителя, если оригиналы дополнительно не запрошены одной из Сторон.</w:t>
      </w:r>
    </w:p>
    <w:p w14:paraId="5B809C45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Соглашение, приложени</w:t>
      </w:r>
      <w:r w:rsidRPr="0016021C">
        <w:rPr>
          <w:sz w:val="19"/>
          <w:lang w:val="ru-RU"/>
        </w:rPr>
        <w:t>я, отчёты и акты могут подписываться собственноручно, усиленной электронной подписью, через ЭДО либо иным согласованным способом.</w:t>
      </w:r>
    </w:p>
    <w:p w14:paraId="6FF7D928" w14:textId="77777777" w:rsidR="003677BE" w:rsidRPr="0016021C" w:rsidRDefault="008E7620">
      <w:pPr>
        <w:pStyle w:val="a"/>
        <w:spacing w:after="60" w:line="252" w:lineRule="auto"/>
        <w:rPr>
          <w:lang w:val="ru-RU"/>
        </w:rPr>
      </w:pPr>
      <w:r w:rsidRPr="0016021C">
        <w:rPr>
          <w:sz w:val="19"/>
          <w:lang w:val="ru-RU"/>
        </w:rPr>
        <w:t>Актуальные адреса и контакты Сторон указываются в реквизитах и приложениях.</w:t>
      </w:r>
    </w:p>
    <w:p w14:paraId="1252C86C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t>12. Реквизиты и подписи сторон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3677BE" w14:paraId="4926EFA7" w14:textId="77777777">
        <w:trPr>
          <w:jc w:val="center"/>
        </w:trPr>
        <w:tc>
          <w:tcPr>
            <w:tcW w:w="5241" w:type="dxa"/>
            <w:shd w:val="clear" w:color="auto" w:fill="EAF1FF"/>
            <w:vAlign w:val="center"/>
          </w:tcPr>
          <w:p w14:paraId="0CDF9880" w14:textId="77777777" w:rsidR="003677BE" w:rsidRDefault="008E7620">
            <w:r>
              <w:rPr>
                <w:b/>
                <w:color w:val="07172C"/>
              </w:rPr>
              <w:t>Оператор маркетплей</w:t>
            </w:r>
            <w:r>
              <w:rPr>
                <w:b/>
                <w:color w:val="07172C"/>
              </w:rPr>
              <w:t>са</w:t>
            </w:r>
          </w:p>
        </w:tc>
        <w:tc>
          <w:tcPr>
            <w:tcW w:w="5241" w:type="dxa"/>
            <w:shd w:val="clear" w:color="auto" w:fill="EAF1FF"/>
            <w:vAlign w:val="center"/>
          </w:tcPr>
          <w:p w14:paraId="78EA21FD" w14:textId="77777777" w:rsidR="003677BE" w:rsidRDefault="008E7620">
            <w:r>
              <w:rPr>
                <w:b/>
                <w:color w:val="07172C"/>
              </w:rPr>
              <w:t>Инициатор</w:t>
            </w:r>
          </w:p>
        </w:tc>
      </w:tr>
      <w:tr w:rsidR="003677BE" w:rsidRPr="0016021C" w14:paraId="67A7882C" w14:textId="77777777">
        <w:trPr>
          <w:jc w:val="center"/>
        </w:trPr>
        <w:tc>
          <w:tcPr>
            <w:tcW w:w="5241" w:type="dxa"/>
            <w:vAlign w:val="center"/>
          </w:tcPr>
          <w:p w14:paraId="75C4C689" w14:textId="77777777" w:rsidR="003677BE" w:rsidRPr="0016021C" w:rsidRDefault="008E7620">
            <w:pPr>
              <w:rPr>
                <w:lang w:val="ru-RU"/>
              </w:rPr>
            </w:pPr>
            <w:r w:rsidRPr="0016021C">
              <w:rPr>
                <w:color w:val="111111"/>
                <w:sz w:val="17"/>
                <w:lang w:val="ru-RU"/>
              </w:rPr>
              <w:t>ИП Великоречин Артём Николаевич</w:t>
            </w:r>
            <w:r w:rsidRPr="0016021C">
              <w:rPr>
                <w:color w:val="111111"/>
                <w:sz w:val="17"/>
                <w:lang w:val="ru-RU"/>
              </w:rPr>
              <w:br/>
              <w:t>ИНН: 400706224980</w:t>
            </w:r>
            <w:r w:rsidRPr="0016021C">
              <w:rPr>
                <w:color w:val="111111"/>
                <w:sz w:val="17"/>
                <w:lang w:val="ru-RU"/>
              </w:rPr>
              <w:br/>
              <w:t>ОГРНИП: 319402700028144</w:t>
            </w:r>
            <w:r w:rsidRPr="0016021C">
              <w:rPr>
                <w:color w:val="111111"/>
                <w:sz w:val="17"/>
                <w:lang w:val="ru-RU"/>
              </w:rPr>
              <w:br/>
              <w:t>Юридический адрес: г. Обнинск, ул. Ленина, 219</w:t>
            </w:r>
            <w:r w:rsidRPr="0016021C">
              <w:rPr>
                <w:color w:val="111111"/>
                <w:sz w:val="17"/>
                <w:lang w:val="ru-RU"/>
              </w:rPr>
              <w:br/>
              <w:t>Расчётный счёт: 40802810622240012177</w:t>
            </w:r>
            <w:r w:rsidRPr="0016021C">
              <w:rPr>
                <w:color w:val="111111"/>
                <w:sz w:val="17"/>
                <w:lang w:val="ru-RU"/>
              </w:rPr>
              <w:br/>
              <w:t>Кор. счёт: 30101810100000000612</w:t>
            </w:r>
            <w:r w:rsidRPr="0016021C">
              <w:rPr>
                <w:color w:val="111111"/>
                <w:sz w:val="17"/>
                <w:lang w:val="ru-RU"/>
              </w:rPr>
              <w:br/>
              <w:t>БИК: 042908612</w:t>
            </w:r>
            <w:r w:rsidRPr="0016021C">
              <w:rPr>
                <w:color w:val="111111"/>
                <w:sz w:val="17"/>
                <w:lang w:val="ru-RU"/>
              </w:rPr>
              <w:br/>
            </w:r>
            <w:r>
              <w:rPr>
                <w:color w:val="111111"/>
                <w:sz w:val="17"/>
              </w:rPr>
              <w:t>E</w:t>
            </w:r>
            <w:r w:rsidRPr="0016021C">
              <w:rPr>
                <w:color w:val="111111"/>
                <w:sz w:val="17"/>
                <w:lang w:val="ru-RU"/>
              </w:rPr>
              <w:t>-</w:t>
            </w:r>
            <w:r>
              <w:rPr>
                <w:color w:val="111111"/>
                <w:sz w:val="17"/>
              </w:rPr>
              <w:t>mail</w:t>
            </w:r>
            <w:r w:rsidRPr="0016021C">
              <w:rPr>
                <w:color w:val="111111"/>
                <w:sz w:val="17"/>
                <w:lang w:val="ru-RU"/>
              </w:rPr>
              <w:t xml:space="preserve">: </w:t>
            </w:r>
            <w:r>
              <w:rPr>
                <w:color w:val="111111"/>
                <w:sz w:val="17"/>
              </w:rPr>
              <w:t>velikorechin</w:t>
            </w:r>
            <w:r w:rsidRPr="0016021C">
              <w:rPr>
                <w:color w:val="111111"/>
                <w:sz w:val="17"/>
                <w:lang w:val="ru-RU"/>
              </w:rPr>
              <w:t>@</w:t>
            </w:r>
            <w:r>
              <w:rPr>
                <w:color w:val="111111"/>
                <w:sz w:val="17"/>
              </w:rPr>
              <w:t>allaboutit</w:t>
            </w:r>
            <w:r w:rsidRPr="0016021C">
              <w:rPr>
                <w:color w:val="111111"/>
                <w:sz w:val="17"/>
                <w:lang w:val="ru-RU"/>
              </w:rPr>
              <w:t>40.</w:t>
            </w:r>
            <w:r>
              <w:rPr>
                <w:color w:val="111111"/>
                <w:sz w:val="17"/>
              </w:rPr>
              <w:t>ru</w:t>
            </w:r>
            <w:r w:rsidRPr="0016021C">
              <w:rPr>
                <w:color w:val="111111"/>
                <w:sz w:val="17"/>
                <w:lang w:val="ru-RU"/>
              </w:rPr>
              <w:br/>
              <w:t xml:space="preserve">Сайт: </w:t>
            </w:r>
            <w:r>
              <w:rPr>
                <w:color w:val="111111"/>
                <w:sz w:val="17"/>
              </w:rPr>
              <w:t>allaboutit</w:t>
            </w:r>
            <w:r w:rsidRPr="0016021C">
              <w:rPr>
                <w:color w:val="111111"/>
                <w:sz w:val="17"/>
                <w:lang w:val="ru-RU"/>
              </w:rPr>
              <w:t>40.</w:t>
            </w:r>
            <w:r>
              <w:rPr>
                <w:color w:val="111111"/>
                <w:sz w:val="17"/>
              </w:rPr>
              <w:t>ru</w:t>
            </w:r>
            <w:r w:rsidRPr="0016021C">
              <w:rPr>
                <w:color w:val="111111"/>
                <w:sz w:val="17"/>
                <w:lang w:val="ru-RU"/>
              </w:rPr>
              <w:br/>
              <w:t>Тел.: +7 980 512-66-62</w:t>
            </w:r>
          </w:p>
        </w:tc>
        <w:tc>
          <w:tcPr>
            <w:tcW w:w="5241" w:type="dxa"/>
            <w:vAlign w:val="center"/>
          </w:tcPr>
          <w:p w14:paraId="1901730D" w14:textId="77777777" w:rsidR="003677BE" w:rsidRPr="0016021C" w:rsidRDefault="008E7620">
            <w:pPr>
              <w:rPr>
                <w:lang w:val="ru-RU"/>
              </w:rPr>
            </w:pPr>
            <w:r w:rsidRPr="0016021C">
              <w:rPr>
                <w:color w:val="111111"/>
                <w:sz w:val="17"/>
                <w:lang w:val="ru-RU"/>
              </w:rPr>
              <w:t>Наименование/ФИО: 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ИНН/ОГРН/паспорт: 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Адрес: _____________________________________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Расчётный счёт/карта/СБП: 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Б</w:t>
            </w:r>
            <w:r w:rsidRPr="0016021C">
              <w:rPr>
                <w:color w:val="111111"/>
                <w:sz w:val="17"/>
                <w:lang w:val="ru-RU"/>
              </w:rPr>
              <w:t>анк: ______________________________________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БИК: _______________________________________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</w:r>
            <w:r>
              <w:rPr>
                <w:color w:val="111111"/>
                <w:sz w:val="17"/>
              </w:rPr>
              <w:t>E</w:t>
            </w:r>
            <w:r w:rsidRPr="0016021C">
              <w:rPr>
                <w:color w:val="111111"/>
                <w:sz w:val="17"/>
                <w:lang w:val="ru-RU"/>
              </w:rPr>
              <w:t>-</w:t>
            </w:r>
            <w:r>
              <w:rPr>
                <w:color w:val="111111"/>
                <w:sz w:val="17"/>
              </w:rPr>
              <w:t>mail</w:t>
            </w:r>
            <w:r w:rsidRPr="0016021C">
              <w:rPr>
                <w:color w:val="111111"/>
                <w:sz w:val="17"/>
                <w:lang w:val="ru-RU"/>
              </w:rPr>
              <w:t>: _____________________________________</w:t>
            </w:r>
            <w:r w:rsidRPr="0016021C">
              <w:rPr>
                <w:color w:val="111111"/>
                <w:sz w:val="17"/>
                <w:lang w:val="ru-RU"/>
              </w:rPr>
              <w:br/>
              <w:t>Тел.: ______________________________________</w:t>
            </w:r>
          </w:p>
        </w:tc>
      </w:tr>
      <w:tr w:rsidR="003677BE" w14:paraId="321BFE98" w14:textId="77777777">
        <w:trPr>
          <w:jc w:val="center"/>
        </w:trPr>
        <w:tc>
          <w:tcPr>
            <w:tcW w:w="5241" w:type="dxa"/>
            <w:vAlign w:val="center"/>
          </w:tcPr>
          <w:p w14:paraId="211FE0A5" w14:textId="77777777" w:rsidR="003677BE" w:rsidRDefault="008E7620">
            <w:r>
              <w:rPr>
                <w:color w:val="111111"/>
                <w:sz w:val="17"/>
              </w:rPr>
              <w:t>Подпись: __________________ /А.Н. Великоречин/</w:t>
            </w:r>
          </w:p>
        </w:tc>
        <w:tc>
          <w:tcPr>
            <w:tcW w:w="5241" w:type="dxa"/>
            <w:vAlign w:val="center"/>
          </w:tcPr>
          <w:p w14:paraId="5EF9D98E" w14:textId="77777777" w:rsidR="003677BE" w:rsidRDefault="008E7620">
            <w:r>
              <w:rPr>
                <w:color w:val="111111"/>
                <w:sz w:val="17"/>
              </w:rPr>
              <w:t xml:space="preserve">Подпись: __________________ </w:t>
            </w:r>
            <w:r>
              <w:rPr>
                <w:color w:val="111111"/>
                <w:sz w:val="17"/>
              </w:rPr>
              <w:t>/______________/</w:t>
            </w:r>
          </w:p>
        </w:tc>
      </w:tr>
    </w:tbl>
    <w:p w14:paraId="7702D72C" w14:textId="77777777" w:rsidR="003677BE" w:rsidRDefault="003677BE">
      <w:pPr>
        <w:spacing w:after="80" w:line="259" w:lineRule="auto"/>
      </w:pPr>
    </w:p>
    <w:p w14:paraId="4305978A" w14:textId="77777777" w:rsidR="003677BE" w:rsidRDefault="008E7620">
      <w:r>
        <w:br w:type="page"/>
      </w:r>
    </w:p>
    <w:p w14:paraId="489359FB" w14:textId="77777777" w:rsidR="003677BE" w:rsidRPr="0016021C" w:rsidRDefault="008E7620">
      <w:pPr>
        <w:pStyle w:val="1"/>
        <w:spacing w:before="200" w:after="80"/>
        <w:rPr>
          <w:lang w:val="ru-RU"/>
        </w:rPr>
      </w:pPr>
      <w:r w:rsidRPr="0016021C">
        <w:rPr>
          <w:rFonts w:ascii="Arial" w:eastAsia="Arial" w:hAnsi="Arial"/>
          <w:color w:val="07172C"/>
          <w:sz w:val="26"/>
          <w:lang w:val="ru-RU"/>
        </w:rPr>
        <w:lastRenderedPageBreak/>
        <w:t>Приложение №1. Карточка Решения и условия начислений</w:t>
      </w:r>
    </w:p>
    <w:p w14:paraId="57EFCBA6" w14:textId="77777777" w:rsidR="003677BE" w:rsidRPr="0016021C" w:rsidRDefault="008E7620">
      <w:pPr>
        <w:spacing w:after="80" w:line="259" w:lineRule="auto"/>
        <w:rPr>
          <w:lang w:val="ru-RU"/>
        </w:rPr>
      </w:pPr>
      <w:r w:rsidRPr="0016021C">
        <w:rPr>
          <w:lang w:val="ru-RU"/>
        </w:rPr>
        <w:t>Настоящее приложение заполняется по каждому Решению, которое закрепляется за Инициатором.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3677BE" w14:paraId="45B556B4" w14:textId="77777777">
        <w:trPr>
          <w:tblHeader/>
          <w:jc w:val="center"/>
        </w:trPr>
        <w:tc>
          <w:tcPr>
            <w:tcW w:w="5241" w:type="dxa"/>
            <w:shd w:val="clear" w:color="auto" w:fill="07172C"/>
            <w:vAlign w:val="center"/>
          </w:tcPr>
          <w:p w14:paraId="25647480" w14:textId="77777777" w:rsidR="003677BE" w:rsidRDefault="008E7620">
            <w:r>
              <w:rPr>
                <w:b/>
                <w:color w:val="FFFFFF"/>
                <w:sz w:val="19"/>
              </w:rPr>
              <w:t>Параметр</w:t>
            </w:r>
          </w:p>
        </w:tc>
        <w:tc>
          <w:tcPr>
            <w:tcW w:w="5241" w:type="dxa"/>
            <w:shd w:val="clear" w:color="auto" w:fill="07172C"/>
            <w:vAlign w:val="center"/>
          </w:tcPr>
          <w:p w14:paraId="19D61A22" w14:textId="77777777" w:rsidR="003677BE" w:rsidRDefault="008E7620">
            <w:r>
              <w:rPr>
                <w:b/>
                <w:color w:val="FFFFFF"/>
                <w:sz w:val="19"/>
              </w:rPr>
              <w:t>Значение</w:t>
            </w:r>
          </w:p>
        </w:tc>
      </w:tr>
      <w:tr w:rsidR="003677BE" w14:paraId="77B9140E" w14:textId="77777777">
        <w:trPr>
          <w:jc w:val="center"/>
        </w:trPr>
        <w:tc>
          <w:tcPr>
            <w:tcW w:w="5241" w:type="dxa"/>
            <w:vAlign w:val="center"/>
          </w:tcPr>
          <w:p w14:paraId="58CC14C0" w14:textId="77777777" w:rsidR="003677BE" w:rsidRDefault="008E7620">
            <w:r>
              <w:rPr>
                <w:b/>
                <w:color w:val="111111"/>
                <w:sz w:val="17"/>
              </w:rPr>
              <w:t>Название Решения</w:t>
            </w:r>
          </w:p>
        </w:tc>
        <w:tc>
          <w:tcPr>
            <w:tcW w:w="5241" w:type="dxa"/>
            <w:vAlign w:val="center"/>
          </w:tcPr>
          <w:p w14:paraId="2844F007" w14:textId="77777777" w:rsidR="003677BE" w:rsidRDefault="008E7620">
            <w:r>
              <w:rPr>
                <w:color w:val="111111"/>
                <w:sz w:val="17"/>
              </w:rPr>
              <w:t>____________________________________________</w:t>
            </w:r>
          </w:p>
        </w:tc>
      </w:tr>
      <w:tr w:rsidR="003677BE" w14:paraId="6AD26519" w14:textId="77777777">
        <w:trPr>
          <w:jc w:val="center"/>
        </w:trPr>
        <w:tc>
          <w:tcPr>
            <w:tcW w:w="5241" w:type="dxa"/>
            <w:vAlign w:val="center"/>
          </w:tcPr>
          <w:p w14:paraId="12436349" w14:textId="77777777" w:rsidR="003677BE" w:rsidRDefault="008E7620">
            <w:r>
              <w:rPr>
                <w:b/>
                <w:color w:val="111111"/>
                <w:sz w:val="17"/>
              </w:rPr>
              <w:t>Краткое описание Решения</w:t>
            </w:r>
          </w:p>
        </w:tc>
        <w:tc>
          <w:tcPr>
            <w:tcW w:w="5241" w:type="dxa"/>
            <w:vAlign w:val="center"/>
          </w:tcPr>
          <w:p w14:paraId="3E44A749" w14:textId="77777777" w:rsidR="003677BE" w:rsidRDefault="008E7620">
            <w:r>
              <w:rPr>
                <w:color w:val="111111"/>
                <w:sz w:val="17"/>
              </w:rPr>
              <w:t>____________________________________________</w:t>
            </w:r>
          </w:p>
        </w:tc>
      </w:tr>
      <w:tr w:rsidR="003677BE" w14:paraId="17204A45" w14:textId="77777777">
        <w:trPr>
          <w:jc w:val="center"/>
        </w:trPr>
        <w:tc>
          <w:tcPr>
            <w:tcW w:w="5241" w:type="dxa"/>
            <w:vAlign w:val="center"/>
          </w:tcPr>
          <w:p w14:paraId="247D5829" w14:textId="77777777" w:rsidR="003677BE" w:rsidRDefault="008E7620">
            <w:r>
              <w:rPr>
                <w:b/>
                <w:color w:val="111111"/>
                <w:sz w:val="17"/>
              </w:rPr>
              <w:t>Основание/исходная задача Инициатора</w:t>
            </w:r>
          </w:p>
        </w:tc>
        <w:tc>
          <w:tcPr>
            <w:tcW w:w="5241" w:type="dxa"/>
            <w:vAlign w:val="center"/>
          </w:tcPr>
          <w:p w14:paraId="77ABDBE8" w14:textId="77777777" w:rsidR="003677BE" w:rsidRDefault="008E7620">
            <w:r>
              <w:rPr>
                <w:color w:val="111111"/>
                <w:sz w:val="17"/>
              </w:rPr>
              <w:t>____________________________________________</w:t>
            </w:r>
          </w:p>
        </w:tc>
      </w:tr>
      <w:tr w:rsidR="003677BE" w14:paraId="14913416" w14:textId="77777777">
        <w:trPr>
          <w:jc w:val="center"/>
        </w:trPr>
        <w:tc>
          <w:tcPr>
            <w:tcW w:w="5241" w:type="dxa"/>
            <w:vAlign w:val="center"/>
          </w:tcPr>
          <w:p w14:paraId="4CCDFDA0" w14:textId="77777777" w:rsidR="003677BE" w:rsidRDefault="008E7620">
            <w:r>
              <w:rPr>
                <w:b/>
                <w:color w:val="111111"/>
                <w:sz w:val="17"/>
              </w:rPr>
              <w:t>Дата первичной разработки/проекта</w:t>
            </w:r>
          </w:p>
        </w:tc>
        <w:tc>
          <w:tcPr>
            <w:tcW w:w="5241" w:type="dxa"/>
            <w:vAlign w:val="center"/>
          </w:tcPr>
          <w:p w14:paraId="1587C4AF" w14:textId="77777777" w:rsidR="003677BE" w:rsidRDefault="008E7620">
            <w:r>
              <w:rPr>
                <w:color w:val="111111"/>
                <w:sz w:val="17"/>
              </w:rPr>
              <w:t xml:space="preserve">«___» __________ 20__ </w:t>
            </w:r>
            <w:r>
              <w:rPr>
                <w:color w:val="111111"/>
                <w:sz w:val="17"/>
              </w:rPr>
              <w:t>г.</w:t>
            </w:r>
          </w:p>
        </w:tc>
      </w:tr>
      <w:tr w:rsidR="003677BE" w14:paraId="3E439C5B" w14:textId="77777777">
        <w:trPr>
          <w:jc w:val="center"/>
        </w:trPr>
        <w:tc>
          <w:tcPr>
            <w:tcW w:w="5241" w:type="dxa"/>
            <w:vAlign w:val="center"/>
          </w:tcPr>
          <w:p w14:paraId="2187E08C" w14:textId="77777777" w:rsidR="003677BE" w:rsidRPr="0016021C" w:rsidRDefault="008E7620">
            <w:pPr>
              <w:rPr>
                <w:lang w:val="ru-RU"/>
              </w:rPr>
            </w:pPr>
            <w:r w:rsidRPr="0016021C">
              <w:rPr>
                <w:b/>
                <w:color w:val="111111"/>
                <w:sz w:val="17"/>
                <w:lang w:val="ru-RU"/>
              </w:rPr>
              <w:t>Ссылка на карточку на маркетплейсе</w:t>
            </w:r>
          </w:p>
        </w:tc>
        <w:tc>
          <w:tcPr>
            <w:tcW w:w="5241" w:type="dxa"/>
            <w:vAlign w:val="center"/>
          </w:tcPr>
          <w:p w14:paraId="74BE294E" w14:textId="77777777" w:rsidR="003677BE" w:rsidRDefault="008E7620">
            <w:r>
              <w:rPr>
                <w:color w:val="111111"/>
                <w:sz w:val="17"/>
              </w:rPr>
              <w:t>https://market.allaboutit40.ru/________________</w:t>
            </w:r>
          </w:p>
        </w:tc>
      </w:tr>
      <w:tr w:rsidR="003677BE" w14:paraId="1BBE4D88" w14:textId="77777777">
        <w:trPr>
          <w:jc w:val="center"/>
        </w:trPr>
        <w:tc>
          <w:tcPr>
            <w:tcW w:w="5241" w:type="dxa"/>
            <w:vAlign w:val="center"/>
          </w:tcPr>
          <w:p w14:paraId="42D23530" w14:textId="77777777" w:rsidR="003677BE" w:rsidRDefault="008E7620">
            <w:r>
              <w:rPr>
                <w:b/>
                <w:color w:val="111111"/>
                <w:sz w:val="17"/>
              </w:rPr>
              <w:t>Размер вознаграждения</w:t>
            </w:r>
          </w:p>
        </w:tc>
        <w:tc>
          <w:tcPr>
            <w:tcW w:w="5241" w:type="dxa"/>
            <w:vAlign w:val="center"/>
          </w:tcPr>
          <w:p w14:paraId="154F3C05" w14:textId="77777777" w:rsidR="003677BE" w:rsidRDefault="008E7620">
            <w:r>
              <w:rPr>
                <w:color w:val="111111"/>
                <w:sz w:val="17"/>
              </w:rPr>
              <w:t>10% от базы расчёта</w:t>
            </w:r>
          </w:p>
        </w:tc>
      </w:tr>
      <w:tr w:rsidR="003677BE" w:rsidRPr="0016021C" w14:paraId="23CB96AB" w14:textId="77777777">
        <w:trPr>
          <w:jc w:val="center"/>
        </w:trPr>
        <w:tc>
          <w:tcPr>
            <w:tcW w:w="5241" w:type="dxa"/>
            <w:vAlign w:val="center"/>
          </w:tcPr>
          <w:p w14:paraId="6EB11958" w14:textId="77777777" w:rsidR="003677BE" w:rsidRDefault="008E7620">
            <w:r>
              <w:rPr>
                <w:b/>
                <w:color w:val="111111"/>
                <w:sz w:val="17"/>
              </w:rPr>
              <w:t>База расчёта</w:t>
            </w:r>
          </w:p>
        </w:tc>
        <w:tc>
          <w:tcPr>
            <w:tcW w:w="5241" w:type="dxa"/>
            <w:vAlign w:val="center"/>
          </w:tcPr>
          <w:p w14:paraId="1B2634FD" w14:textId="77777777" w:rsidR="003677BE" w:rsidRPr="0016021C" w:rsidRDefault="008E7620">
            <w:pPr>
              <w:rPr>
                <w:lang w:val="ru-RU"/>
              </w:rPr>
            </w:pPr>
            <w:r w:rsidRPr="0016021C">
              <w:rPr>
                <w:color w:val="111111"/>
                <w:sz w:val="17"/>
                <w:lang w:val="ru-RU"/>
              </w:rPr>
              <w:t xml:space="preserve">Оплаченная стоимость самого Решения без индивидуальных работ, поддержки, услуг третьих лиц, возвратов и </w:t>
            </w:r>
            <w:r w:rsidRPr="0016021C">
              <w:rPr>
                <w:color w:val="111111"/>
                <w:sz w:val="17"/>
                <w:lang w:val="ru-RU"/>
              </w:rPr>
              <w:t>комиссий</w:t>
            </w:r>
          </w:p>
        </w:tc>
      </w:tr>
      <w:tr w:rsidR="003677BE" w14:paraId="777E141E" w14:textId="77777777">
        <w:trPr>
          <w:jc w:val="center"/>
        </w:trPr>
        <w:tc>
          <w:tcPr>
            <w:tcW w:w="5241" w:type="dxa"/>
            <w:vAlign w:val="center"/>
          </w:tcPr>
          <w:p w14:paraId="545FDFE8" w14:textId="77777777" w:rsidR="003677BE" w:rsidRDefault="008E7620">
            <w:r>
              <w:rPr>
                <w:b/>
                <w:color w:val="111111"/>
                <w:sz w:val="17"/>
              </w:rPr>
              <w:t>Отчётный период</w:t>
            </w:r>
          </w:p>
        </w:tc>
        <w:tc>
          <w:tcPr>
            <w:tcW w:w="5241" w:type="dxa"/>
            <w:vAlign w:val="center"/>
          </w:tcPr>
          <w:p w14:paraId="7D1DB38D" w14:textId="77777777" w:rsidR="003677BE" w:rsidRDefault="008E7620">
            <w:r>
              <w:rPr>
                <w:color w:val="111111"/>
                <w:sz w:val="17"/>
              </w:rPr>
              <w:t>Календарный месяц</w:t>
            </w:r>
          </w:p>
        </w:tc>
      </w:tr>
      <w:tr w:rsidR="003677BE" w14:paraId="2B4A26A7" w14:textId="77777777">
        <w:trPr>
          <w:jc w:val="center"/>
        </w:trPr>
        <w:tc>
          <w:tcPr>
            <w:tcW w:w="5241" w:type="dxa"/>
            <w:vAlign w:val="center"/>
          </w:tcPr>
          <w:p w14:paraId="3AD6B251" w14:textId="77777777" w:rsidR="003677BE" w:rsidRDefault="008E7620">
            <w:r>
              <w:rPr>
                <w:b/>
                <w:color w:val="111111"/>
                <w:sz w:val="17"/>
              </w:rPr>
              <w:t>Минимальная сумма выплаты</w:t>
            </w:r>
          </w:p>
        </w:tc>
        <w:tc>
          <w:tcPr>
            <w:tcW w:w="5241" w:type="dxa"/>
            <w:vAlign w:val="center"/>
          </w:tcPr>
          <w:p w14:paraId="5983AB29" w14:textId="7E5D4354" w:rsidR="003677BE" w:rsidRDefault="0016021C">
            <w:r>
              <w:rPr>
                <w:color w:val="111111"/>
                <w:sz w:val="17"/>
                <w:lang w:val="ru-RU"/>
              </w:rPr>
              <w:t>1</w:t>
            </w:r>
            <w:r w:rsidR="008E7620">
              <w:rPr>
                <w:color w:val="111111"/>
                <w:sz w:val="17"/>
              </w:rPr>
              <w:t xml:space="preserve"> 000 </w:t>
            </w:r>
            <w:proofErr w:type="spellStart"/>
            <w:r w:rsidR="008E7620">
              <w:rPr>
                <w:color w:val="111111"/>
                <w:sz w:val="17"/>
              </w:rPr>
              <w:t>рублей</w:t>
            </w:r>
            <w:proofErr w:type="spellEnd"/>
            <w:r w:rsidR="008E7620">
              <w:rPr>
                <w:color w:val="111111"/>
                <w:sz w:val="17"/>
              </w:rPr>
              <w:t xml:space="preserve"> / </w:t>
            </w:r>
            <w:proofErr w:type="spellStart"/>
            <w:r w:rsidR="008E7620">
              <w:rPr>
                <w:color w:val="111111"/>
                <w:sz w:val="17"/>
              </w:rPr>
              <w:t>иное</w:t>
            </w:r>
            <w:proofErr w:type="spellEnd"/>
            <w:r w:rsidR="008E7620">
              <w:rPr>
                <w:color w:val="111111"/>
                <w:sz w:val="17"/>
              </w:rPr>
              <w:t>: __________________</w:t>
            </w:r>
          </w:p>
        </w:tc>
      </w:tr>
      <w:tr w:rsidR="003677BE" w14:paraId="7047F866" w14:textId="77777777">
        <w:trPr>
          <w:jc w:val="center"/>
        </w:trPr>
        <w:tc>
          <w:tcPr>
            <w:tcW w:w="5241" w:type="dxa"/>
            <w:vAlign w:val="center"/>
          </w:tcPr>
          <w:p w14:paraId="56B99794" w14:textId="77777777" w:rsidR="003677BE" w:rsidRDefault="008E7620">
            <w:r>
              <w:rPr>
                <w:b/>
                <w:color w:val="111111"/>
                <w:sz w:val="17"/>
              </w:rPr>
              <w:t>Особые условия</w:t>
            </w:r>
          </w:p>
        </w:tc>
        <w:tc>
          <w:tcPr>
            <w:tcW w:w="5241" w:type="dxa"/>
            <w:vAlign w:val="center"/>
          </w:tcPr>
          <w:p w14:paraId="28F8EA79" w14:textId="77777777" w:rsidR="003677BE" w:rsidRDefault="008E7620">
            <w:r>
              <w:rPr>
                <w:color w:val="111111"/>
                <w:sz w:val="17"/>
              </w:rPr>
              <w:t>____________________________________________</w:t>
            </w:r>
          </w:p>
        </w:tc>
      </w:tr>
    </w:tbl>
    <w:p w14:paraId="14115618" w14:textId="77777777" w:rsidR="003677BE" w:rsidRDefault="008E7620">
      <w:pPr>
        <w:spacing w:after="80" w:line="259" w:lineRule="auto"/>
      </w:pPr>
      <w:r>
        <w:rPr>
          <w:sz w:val="17"/>
        </w:rPr>
        <w:t>Подписи сторон по Приложению №1: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3677BE" w14:paraId="0107D79D" w14:textId="77777777">
        <w:trPr>
          <w:jc w:val="center"/>
        </w:trPr>
        <w:tc>
          <w:tcPr>
            <w:tcW w:w="5241" w:type="dxa"/>
            <w:vAlign w:val="center"/>
          </w:tcPr>
          <w:p w14:paraId="7820A611" w14:textId="77777777" w:rsidR="003677BE" w:rsidRDefault="008E7620">
            <w:r>
              <w:rPr>
                <w:color w:val="111111"/>
                <w:sz w:val="17"/>
              </w:rPr>
              <w:t>Оператор: __________________ /А.Н. Великоречин/</w:t>
            </w:r>
          </w:p>
        </w:tc>
        <w:tc>
          <w:tcPr>
            <w:tcW w:w="5241" w:type="dxa"/>
            <w:vAlign w:val="center"/>
          </w:tcPr>
          <w:p w14:paraId="178FC1BB" w14:textId="77777777" w:rsidR="003677BE" w:rsidRDefault="008E7620">
            <w:r>
              <w:rPr>
                <w:color w:val="111111"/>
                <w:sz w:val="17"/>
              </w:rPr>
              <w:t>Ин</w:t>
            </w:r>
            <w:r>
              <w:rPr>
                <w:color w:val="111111"/>
                <w:sz w:val="17"/>
              </w:rPr>
              <w:t>ициатор: __________________ /______________/</w:t>
            </w:r>
          </w:p>
        </w:tc>
      </w:tr>
      <w:tr w:rsidR="003677BE" w14:paraId="54268265" w14:textId="77777777">
        <w:trPr>
          <w:jc w:val="center"/>
        </w:trPr>
        <w:tc>
          <w:tcPr>
            <w:tcW w:w="5241" w:type="dxa"/>
            <w:vAlign w:val="center"/>
          </w:tcPr>
          <w:p w14:paraId="24E749C0" w14:textId="77777777" w:rsidR="003677BE" w:rsidRDefault="008E7620">
            <w:r>
              <w:rPr>
                <w:color w:val="111111"/>
                <w:sz w:val="17"/>
              </w:rPr>
              <w:t>Дата: «___» __________ 20__ г.</w:t>
            </w:r>
          </w:p>
        </w:tc>
        <w:tc>
          <w:tcPr>
            <w:tcW w:w="5241" w:type="dxa"/>
            <w:vAlign w:val="center"/>
          </w:tcPr>
          <w:p w14:paraId="58050891" w14:textId="77777777" w:rsidR="003677BE" w:rsidRDefault="008E7620">
            <w:r>
              <w:rPr>
                <w:color w:val="111111"/>
                <w:sz w:val="17"/>
              </w:rPr>
              <w:t>Дата: «___» __________ 20__ г.</w:t>
            </w:r>
          </w:p>
        </w:tc>
      </w:tr>
    </w:tbl>
    <w:p w14:paraId="64654B6F" w14:textId="77777777" w:rsidR="003677BE" w:rsidRDefault="003677BE">
      <w:pPr>
        <w:spacing w:after="80" w:line="259" w:lineRule="auto"/>
      </w:pPr>
    </w:p>
    <w:p w14:paraId="1D0BCD00" w14:textId="77777777" w:rsidR="003677BE" w:rsidRDefault="008E7620">
      <w:r>
        <w:br w:type="page"/>
      </w:r>
    </w:p>
    <w:p w14:paraId="68C42D26" w14:textId="77777777" w:rsidR="003677BE" w:rsidRDefault="008E7620">
      <w:pPr>
        <w:pStyle w:val="1"/>
        <w:spacing w:before="200" w:after="80"/>
      </w:pPr>
      <w:r>
        <w:rPr>
          <w:rFonts w:ascii="Arial" w:eastAsia="Arial" w:hAnsi="Arial"/>
          <w:color w:val="07172C"/>
          <w:sz w:val="26"/>
        </w:rPr>
        <w:lastRenderedPageBreak/>
        <w:t>Приложение №2. Форма отчёта о начислениях</w:t>
      </w:r>
    </w:p>
    <w:p w14:paraId="4904F4D4" w14:textId="77777777" w:rsidR="003677BE" w:rsidRDefault="008E7620">
      <w:pPr>
        <w:spacing w:after="80" w:line="259" w:lineRule="auto"/>
      </w:pPr>
      <w:r>
        <w:t xml:space="preserve">Отчётный период: ____________________    Решение: </w:t>
      </w:r>
      <w:r>
        <w:t>______________________________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747"/>
        <w:gridCol w:w="1747"/>
        <w:gridCol w:w="1747"/>
        <w:gridCol w:w="1747"/>
        <w:gridCol w:w="1747"/>
        <w:gridCol w:w="1747"/>
      </w:tblGrid>
      <w:tr w:rsidR="003677BE" w14:paraId="6E9FC167" w14:textId="77777777">
        <w:trPr>
          <w:tblHeader/>
          <w:jc w:val="center"/>
        </w:trPr>
        <w:tc>
          <w:tcPr>
            <w:tcW w:w="1747" w:type="dxa"/>
            <w:shd w:val="clear" w:color="auto" w:fill="07172C"/>
            <w:vAlign w:val="center"/>
          </w:tcPr>
          <w:p w14:paraId="5E3143AD" w14:textId="77777777" w:rsidR="003677BE" w:rsidRDefault="008E7620">
            <w:r>
              <w:rPr>
                <w:b/>
                <w:color w:val="FFFFFF"/>
                <w:sz w:val="16"/>
              </w:rPr>
              <w:t>№</w:t>
            </w:r>
          </w:p>
        </w:tc>
        <w:tc>
          <w:tcPr>
            <w:tcW w:w="1747" w:type="dxa"/>
            <w:shd w:val="clear" w:color="auto" w:fill="07172C"/>
            <w:vAlign w:val="center"/>
          </w:tcPr>
          <w:p w14:paraId="22FE3BCF" w14:textId="77777777" w:rsidR="003677BE" w:rsidRDefault="008E7620">
            <w:r>
              <w:rPr>
                <w:b/>
                <w:color w:val="FFFFFF"/>
                <w:sz w:val="16"/>
              </w:rPr>
              <w:t>Дата продажи</w:t>
            </w:r>
          </w:p>
        </w:tc>
        <w:tc>
          <w:tcPr>
            <w:tcW w:w="1747" w:type="dxa"/>
            <w:shd w:val="clear" w:color="auto" w:fill="07172C"/>
            <w:vAlign w:val="center"/>
          </w:tcPr>
          <w:p w14:paraId="0E4946A0" w14:textId="77777777" w:rsidR="003677BE" w:rsidRDefault="008E7620">
            <w:r>
              <w:rPr>
                <w:b/>
                <w:color w:val="FFFFFF"/>
                <w:sz w:val="16"/>
              </w:rPr>
              <w:t>Заказ/покупатель</w:t>
            </w:r>
          </w:p>
        </w:tc>
        <w:tc>
          <w:tcPr>
            <w:tcW w:w="1747" w:type="dxa"/>
            <w:shd w:val="clear" w:color="auto" w:fill="07172C"/>
            <w:vAlign w:val="center"/>
          </w:tcPr>
          <w:p w14:paraId="2C27141C" w14:textId="77777777" w:rsidR="003677BE" w:rsidRDefault="008E7620">
            <w:r>
              <w:rPr>
                <w:b/>
                <w:color w:val="FFFFFF"/>
                <w:sz w:val="16"/>
              </w:rPr>
              <w:t>Сумма продажи</w:t>
            </w:r>
          </w:p>
        </w:tc>
        <w:tc>
          <w:tcPr>
            <w:tcW w:w="1747" w:type="dxa"/>
            <w:shd w:val="clear" w:color="auto" w:fill="07172C"/>
            <w:vAlign w:val="center"/>
          </w:tcPr>
          <w:p w14:paraId="723B418C" w14:textId="77777777" w:rsidR="003677BE" w:rsidRDefault="008E7620">
            <w:r>
              <w:rPr>
                <w:b/>
                <w:color w:val="FFFFFF"/>
                <w:sz w:val="16"/>
              </w:rPr>
              <w:t>База расчёта</w:t>
            </w:r>
          </w:p>
        </w:tc>
        <w:tc>
          <w:tcPr>
            <w:tcW w:w="1747" w:type="dxa"/>
            <w:shd w:val="clear" w:color="auto" w:fill="07172C"/>
            <w:vAlign w:val="center"/>
          </w:tcPr>
          <w:p w14:paraId="664E8DB8" w14:textId="77777777" w:rsidR="003677BE" w:rsidRDefault="008E7620">
            <w:r>
              <w:rPr>
                <w:b/>
                <w:color w:val="FFFFFF"/>
                <w:sz w:val="16"/>
              </w:rPr>
              <w:t>10% к начислению</w:t>
            </w:r>
          </w:p>
        </w:tc>
      </w:tr>
      <w:tr w:rsidR="003677BE" w14:paraId="042231C4" w14:textId="77777777">
        <w:trPr>
          <w:jc w:val="center"/>
        </w:trPr>
        <w:tc>
          <w:tcPr>
            <w:tcW w:w="1747" w:type="dxa"/>
            <w:vAlign w:val="center"/>
          </w:tcPr>
          <w:p w14:paraId="01CB8C66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78D5E1D2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0451B0B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362B592D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3808E791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8A885C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  <w:tr w:rsidR="003677BE" w14:paraId="77869163" w14:textId="77777777">
        <w:trPr>
          <w:jc w:val="center"/>
        </w:trPr>
        <w:tc>
          <w:tcPr>
            <w:tcW w:w="1747" w:type="dxa"/>
            <w:vAlign w:val="center"/>
          </w:tcPr>
          <w:p w14:paraId="2EDBDE55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3ED2A36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7C793075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5044E659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7E45C942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5646DC84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  <w:tr w:rsidR="003677BE" w14:paraId="35E0A568" w14:textId="77777777">
        <w:trPr>
          <w:jc w:val="center"/>
        </w:trPr>
        <w:tc>
          <w:tcPr>
            <w:tcW w:w="1747" w:type="dxa"/>
            <w:vAlign w:val="center"/>
          </w:tcPr>
          <w:p w14:paraId="00847037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73D19B29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B3A620A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19CFFF77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5B8825E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11243A63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  <w:tr w:rsidR="003677BE" w14:paraId="578C5D8A" w14:textId="77777777">
        <w:trPr>
          <w:jc w:val="center"/>
        </w:trPr>
        <w:tc>
          <w:tcPr>
            <w:tcW w:w="1747" w:type="dxa"/>
            <w:vAlign w:val="center"/>
          </w:tcPr>
          <w:p w14:paraId="06365E87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6ED5090D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7DC937C6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2B6D911B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25647B1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1AD42496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  <w:tr w:rsidR="003677BE" w14:paraId="6B55B273" w14:textId="77777777">
        <w:trPr>
          <w:jc w:val="center"/>
        </w:trPr>
        <w:tc>
          <w:tcPr>
            <w:tcW w:w="1747" w:type="dxa"/>
            <w:vAlign w:val="center"/>
          </w:tcPr>
          <w:p w14:paraId="3EED692D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34E8A85C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5C8F900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0A9689F6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C37552B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01CB324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  <w:tr w:rsidR="003677BE" w14:paraId="7A4B8B24" w14:textId="77777777">
        <w:trPr>
          <w:jc w:val="center"/>
        </w:trPr>
        <w:tc>
          <w:tcPr>
            <w:tcW w:w="1747" w:type="dxa"/>
            <w:vAlign w:val="center"/>
          </w:tcPr>
          <w:p w14:paraId="51ABD6F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863D0B9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384B2C1D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36E82562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02EEFA12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24FC335F" w14:textId="77777777" w:rsidR="003677BE" w:rsidRDefault="008E7620">
            <w:r>
              <w:rPr>
                <w:color w:val="111111"/>
                <w:sz w:val="16"/>
              </w:rPr>
              <w:t xml:space="preserve"> </w:t>
            </w:r>
          </w:p>
        </w:tc>
      </w:tr>
    </w:tbl>
    <w:p w14:paraId="3F25EDCC" w14:textId="77777777" w:rsidR="003677BE" w:rsidRPr="0016021C" w:rsidRDefault="008E7620">
      <w:pPr>
        <w:spacing w:after="80" w:line="259" w:lineRule="auto"/>
        <w:rPr>
          <w:lang w:val="ru-RU"/>
        </w:rPr>
      </w:pPr>
      <w:r w:rsidRPr="0016021C">
        <w:rPr>
          <w:sz w:val="17"/>
          <w:lang w:val="ru-RU"/>
        </w:rPr>
        <w:t>Итого к начислению за период: __________________ рублей.</w:t>
      </w:r>
    </w:p>
    <w:p w14:paraId="2D207F8E" w14:textId="77777777" w:rsidR="003677BE" w:rsidRPr="0016021C" w:rsidRDefault="008E7620">
      <w:pPr>
        <w:spacing w:after="80" w:line="259" w:lineRule="auto"/>
        <w:rPr>
          <w:lang w:val="ru-RU"/>
        </w:rPr>
      </w:pPr>
      <w:r w:rsidRPr="0016021C">
        <w:rPr>
          <w:sz w:val="17"/>
          <w:lang w:val="ru-RU"/>
        </w:rPr>
        <w:t>Примечания: возвраты, скидки, комиссии, индивидуальные работы и услуги третьих лиц в базу расчёта не включены, если иное не указано в Приложении №1.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241"/>
        <w:gridCol w:w="5241"/>
      </w:tblGrid>
      <w:tr w:rsidR="003677BE" w14:paraId="2A801DC0" w14:textId="77777777">
        <w:trPr>
          <w:jc w:val="center"/>
        </w:trPr>
        <w:tc>
          <w:tcPr>
            <w:tcW w:w="5241" w:type="dxa"/>
            <w:vAlign w:val="center"/>
          </w:tcPr>
          <w:p w14:paraId="52CA3943" w14:textId="77777777" w:rsidR="003677BE" w:rsidRDefault="008E7620">
            <w:r>
              <w:rPr>
                <w:color w:val="111111"/>
                <w:sz w:val="17"/>
              </w:rPr>
              <w:t>Оператор: __________________ /А.Н. Великоречин/</w:t>
            </w:r>
          </w:p>
        </w:tc>
        <w:tc>
          <w:tcPr>
            <w:tcW w:w="5241" w:type="dxa"/>
            <w:vAlign w:val="center"/>
          </w:tcPr>
          <w:p w14:paraId="33038E8A" w14:textId="77777777" w:rsidR="003677BE" w:rsidRDefault="008E7620">
            <w:r>
              <w:rPr>
                <w:color w:val="111111"/>
                <w:sz w:val="17"/>
              </w:rPr>
              <w:t>Инициатор: __________________ /______________/</w:t>
            </w:r>
          </w:p>
        </w:tc>
      </w:tr>
      <w:tr w:rsidR="003677BE" w14:paraId="186E68DC" w14:textId="77777777">
        <w:trPr>
          <w:jc w:val="center"/>
        </w:trPr>
        <w:tc>
          <w:tcPr>
            <w:tcW w:w="5241" w:type="dxa"/>
            <w:vAlign w:val="center"/>
          </w:tcPr>
          <w:p w14:paraId="10020B85" w14:textId="77777777" w:rsidR="003677BE" w:rsidRDefault="008E7620">
            <w:r>
              <w:rPr>
                <w:color w:val="111111"/>
                <w:sz w:val="17"/>
              </w:rPr>
              <w:t>Дата: «___»</w:t>
            </w:r>
            <w:r>
              <w:rPr>
                <w:color w:val="111111"/>
                <w:sz w:val="17"/>
              </w:rPr>
              <w:t xml:space="preserve"> __________ 20__ г.</w:t>
            </w:r>
          </w:p>
        </w:tc>
        <w:tc>
          <w:tcPr>
            <w:tcW w:w="5241" w:type="dxa"/>
            <w:vAlign w:val="center"/>
          </w:tcPr>
          <w:p w14:paraId="3980ACB5" w14:textId="77777777" w:rsidR="003677BE" w:rsidRDefault="008E7620">
            <w:r>
              <w:rPr>
                <w:color w:val="111111"/>
                <w:sz w:val="17"/>
              </w:rPr>
              <w:t>Дата: «___» __________ 20__ г.</w:t>
            </w:r>
          </w:p>
        </w:tc>
      </w:tr>
    </w:tbl>
    <w:p w14:paraId="5EB96FE0" w14:textId="77777777" w:rsidR="008E7620" w:rsidRDefault="008E7620"/>
    <w:sectPr w:rsidR="008E7620" w:rsidSect="00034616">
      <w:headerReference w:type="default" r:id="rId8"/>
      <w:footerReference w:type="default" r:id="rId9"/>
      <w:pgSz w:w="12240" w:h="15840"/>
      <w:pgMar w:top="822" w:right="879" w:bottom="765" w:left="87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1A21" w14:textId="77777777" w:rsidR="008E7620" w:rsidRDefault="008E7620">
      <w:pPr>
        <w:spacing w:after="0" w:line="240" w:lineRule="auto"/>
      </w:pPr>
      <w:r>
        <w:separator/>
      </w:r>
    </w:p>
  </w:endnote>
  <w:endnote w:type="continuationSeparator" w:id="0">
    <w:p w14:paraId="4C9C053B" w14:textId="77777777" w:rsidR="008E7620" w:rsidRDefault="008E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BFD0" w14:textId="77777777" w:rsidR="003677BE" w:rsidRDefault="008E7620">
    <w:pPr>
      <w:pStyle w:val="a7"/>
      <w:jc w:val="center"/>
    </w:pPr>
    <w:r>
      <w:rPr>
        <w:color w:val="64748B"/>
        <w:sz w:val="16"/>
      </w:rPr>
      <w:t>market.allaboutit40.ru · +7 980 512-66-62 · support@allaboutit40.ru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5E92" w14:textId="77777777" w:rsidR="008E7620" w:rsidRDefault="008E7620">
      <w:pPr>
        <w:spacing w:after="0" w:line="240" w:lineRule="auto"/>
      </w:pPr>
      <w:r>
        <w:separator/>
      </w:r>
    </w:p>
  </w:footnote>
  <w:footnote w:type="continuationSeparator" w:id="0">
    <w:p w14:paraId="56611B12" w14:textId="77777777" w:rsidR="008E7620" w:rsidRDefault="008E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F60A" w14:textId="77777777" w:rsidR="003677BE" w:rsidRDefault="008E7620">
    <w:pPr>
      <w:pStyle w:val="a5"/>
      <w:jc w:val="right"/>
    </w:pPr>
    <w:r>
      <w:rPr>
        <w:color w:val="64748B"/>
        <w:sz w:val="16"/>
      </w:rPr>
      <w:t>ВсёОбАйти Маркетплейс · программа инициаторов 10%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21C"/>
    <w:rsid w:val="0029639D"/>
    <w:rsid w:val="00326F90"/>
    <w:rsid w:val="003677BE"/>
    <w:rsid w:val="008E762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3AADC"/>
  <w14:defaultImageDpi w14:val="300"/>
  <w15:docId w15:val="{DA893577-65FE-4A8E-81F0-65D2CB5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Артём великоречин</cp:lastModifiedBy>
  <cp:revision>2</cp:revision>
  <dcterms:created xsi:type="dcterms:W3CDTF">2013-12-23T23:15:00Z</dcterms:created>
  <dcterms:modified xsi:type="dcterms:W3CDTF">2026-05-16T13:01:00Z</dcterms:modified>
  <cp:category/>
</cp:coreProperties>
</file>